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223" w:rsidRPr="00134544" w:rsidRDefault="00213223" w:rsidP="00213223">
      <w:pPr>
        <w:shd w:val="clear" w:color="auto" w:fill="FFFFFF"/>
        <w:spacing w:after="0" w:line="240" w:lineRule="auto"/>
        <w:rPr>
          <w:rFonts w:ascii="Arial" w:eastAsia="Times New Roman" w:hAnsi="Arial" w:cs="Arial"/>
          <w:b/>
          <w:color w:val="262626" w:themeColor="text1" w:themeTint="D9"/>
          <w:sz w:val="24"/>
          <w:szCs w:val="48"/>
          <w:lang w:val="es-EC" w:eastAsia="es-EC"/>
        </w:rPr>
      </w:pPr>
      <w:r w:rsidRPr="00134544">
        <w:rPr>
          <w:rFonts w:ascii="Arial" w:eastAsia="Times New Roman" w:hAnsi="Arial" w:cs="Arial"/>
          <w:b/>
          <w:color w:val="262626" w:themeColor="text1" w:themeTint="D9"/>
          <w:sz w:val="24"/>
          <w:szCs w:val="48"/>
          <w:lang w:val="es-EC" w:eastAsia="es-EC"/>
        </w:rPr>
        <w:t xml:space="preserve">Suplemento </w:t>
      </w:r>
      <w:r>
        <w:rPr>
          <w:rFonts w:ascii="Arial" w:eastAsia="Times New Roman" w:hAnsi="Arial" w:cs="Arial"/>
          <w:b/>
          <w:color w:val="262626" w:themeColor="text1" w:themeTint="D9"/>
          <w:sz w:val="24"/>
          <w:szCs w:val="48"/>
          <w:lang w:val="es-EC" w:eastAsia="es-EC"/>
        </w:rPr>
        <w:t xml:space="preserve">Registro Oficial </w:t>
      </w:r>
      <w:r w:rsidRPr="00134544">
        <w:rPr>
          <w:rFonts w:ascii="Arial" w:eastAsia="Times New Roman" w:hAnsi="Arial" w:cs="Arial"/>
          <w:b/>
          <w:color w:val="262626" w:themeColor="text1" w:themeTint="D9"/>
          <w:sz w:val="24"/>
          <w:szCs w:val="48"/>
          <w:lang w:val="es-EC" w:eastAsia="es-EC"/>
        </w:rPr>
        <w:t>No. 118,</w:t>
      </w:r>
      <w:r>
        <w:rPr>
          <w:rFonts w:ascii="Arial" w:eastAsia="Times New Roman" w:hAnsi="Arial" w:cs="Arial"/>
          <w:b/>
          <w:color w:val="262626" w:themeColor="text1" w:themeTint="D9"/>
          <w:sz w:val="24"/>
          <w:szCs w:val="48"/>
          <w:lang w:val="es-EC" w:eastAsia="es-EC"/>
        </w:rPr>
        <w:t xml:space="preserve"> </w:t>
      </w:r>
      <w:proofErr w:type="gramStart"/>
      <w:r w:rsidRPr="00134544">
        <w:rPr>
          <w:rFonts w:ascii="Arial" w:eastAsia="Times New Roman" w:hAnsi="Arial" w:cs="Arial"/>
          <w:b/>
          <w:color w:val="262626" w:themeColor="text1" w:themeTint="D9"/>
          <w:sz w:val="24"/>
          <w:szCs w:val="48"/>
          <w:lang w:val="es-EC" w:eastAsia="es-EC"/>
        </w:rPr>
        <w:t>Lunes</w:t>
      </w:r>
      <w:proofErr w:type="gramEnd"/>
      <w:r w:rsidRPr="00134544">
        <w:rPr>
          <w:rFonts w:ascii="Arial" w:eastAsia="Times New Roman" w:hAnsi="Arial" w:cs="Arial"/>
          <w:b/>
          <w:color w:val="262626" w:themeColor="text1" w:themeTint="D9"/>
          <w:sz w:val="24"/>
          <w:szCs w:val="48"/>
          <w:lang w:val="es-EC" w:eastAsia="es-EC"/>
        </w:rPr>
        <w:t xml:space="preserve"> 13 de Noviembre de 2017</w:t>
      </w:r>
    </w:p>
    <w:p w:rsidR="00213223" w:rsidRPr="00134544" w:rsidRDefault="00213223" w:rsidP="00213223">
      <w:pPr>
        <w:pStyle w:val="Prrafodelista"/>
        <w:shd w:val="clear" w:color="auto" w:fill="FFFFFF"/>
        <w:spacing w:after="0" w:line="240" w:lineRule="auto"/>
        <w:jc w:val="both"/>
        <w:rPr>
          <w:rFonts w:ascii="Tahoma" w:hAnsi="Tahoma" w:cs="Tahoma"/>
          <w:b/>
          <w:color w:val="595959" w:themeColor="text1" w:themeTint="A6"/>
        </w:rPr>
      </w:pPr>
    </w:p>
    <w:p w:rsidR="00213223" w:rsidRPr="00134544" w:rsidRDefault="00213223" w:rsidP="00213223">
      <w:pPr>
        <w:pStyle w:val="Prrafodelista"/>
        <w:numPr>
          <w:ilvl w:val="0"/>
          <w:numId w:val="1"/>
        </w:numPr>
        <w:shd w:val="clear" w:color="auto" w:fill="FFFFFF"/>
        <w:spacing w:after="0" w:line="240" w:lineRule="auto"/>
        <w:jc w:val="both"/>
        <w:rPr>
          <w:rFonts w:ascii="Tahoma" w:hAnsi="Tahoma" w:cs="Tahoma"/>
          <w:color w:val="595959" w:themeColor="text1" w:themeTint="A6"/>
        </w:rPr>
      </w:pPr>
      <w:r>
        <w:rPr>
          <w:rFonts w:ascii="Tahoma" w:hAnsi="Tahoma" w:cs="Tahoma"/>
          <w:b/>
          <w:color w:val="595959" w:themeColor="text1" w:themeTint="A6"/>
        </w:rPr>
        <w:t xml:space="preserve">Resolución </w:t>
      </w:r>
      <w:hyperlink r:id="rId5" w:history="1">
        <w:r w:rsidRPr="00134544">
          <w:rPr>
            <w:rFonts w:ascii="Tahoma" w:hAnsi="Tahoma" w:cs="Tahoma"/>
            <w:b/>
            <w:color w:val="595959" w:themeColor="text1" w:themeTint="A6"/>
          </w:rPr>
          <w:t>NAC-DGERCGC17-00000552</w:t>
        </w:r>
      </w:hyperlink>
      <w:r w:rsidRPr="00134544">
        <w:rPr>
          <w:rFonts w:ascii="Tahoma" w:hAnsi="Tahoma" w:cs="Tahoma"/>
          <w:b/>
          <w:color w:val="595959" w:themeColor="text1" w:themeTint="A6"/>
        </w:rPr>
        <w:t xml:space="preserve">: </w:t>
      </w:r>
      <w:proofErr w:type="spellStart"/>
      <w:r w:rsidRPr="00134544">
        <w:rPr>
          <w:rFonts w:ascii="Tahoma" w:hAnsi="Tahoma" w:cs="Tahoma"/>
          <w:color w:val="595959" w:themeColor="text1" w:themeTint="A6"/>
        </w:rPr>
        <w:t>Establécense</w:t>
      </w:r>
      <w:proofErr w:type="spellEnd"/>
      <w:r w:rsidRPr="00134544">
        <w:rPr>
          <w:rFonts w:ascii="Tahoma" w:hAnsi="Tahoma" w:cs="Tahoma"/>
          <w:color w:val="595959" w:themeColor="text1" w:themeTint="A6"/>
        </w:rPr>
        <w:t xml:space="preserve"> los montos máximos para la emisión de comprobantes de venta por parte de los sujetos pasivos inscritos en el Régimen Impositivo Simplificado</w:t>
      </w:r>
    </w:p>
    <w:p w:rsidR="00213223" w:rsidRPr="00134544" w:rsidRDefault="00213223" w:rsidP="00213223">
      <w:pPr>
        <w:shd w:val="clear" w:color="auto" w:fill="FFFFFF"/>
        <w:spacing w:after="0" w:line="240" w:lineRule="auto"/>
        <w:ind w:left="708"/>
        <w:rPr>
          <w:rFonts w:ascii="Tahoma" w:eastAsia="Times New Roman" w:hAnsi="Tahoma" w:cs="Tahoma"/>
          <w:sz w:val="16"/>
          <w:szCs w:val="16"/>
          <w:lang w:val="es-EC" w:eastAsia="es-EC"/>
        </w:rPr>
      </w:pPr>
    </w:p>
    <w:p w:rsidR="00213223" w:rsidRDefault="00213223" w:rsidP="00213223">
      <w:pPr>
        <w:shd w:val="clear" w:color="auto" w:fill="FFFFFF"/>
        <w:spacing w:after="0" w:line="240" w:lineRule="auto"/>
        <w:jc w:val="center"/>
        <w:rPr>
          <w:rFonts w:ascii="Tahoma" w:eastAsia="Times New Roman" w:hAnsi="Tahoma" w:cs="Tahoma"/>
          <w:sz w:val="16"/>
          <w:szCs w:val="16"/>
          <w:lang w:val="es-EC" w:eastAsia="es-EC"/>
        </w:rPr>
      </w:pPr>
      <w:r w:rsidRPr="001C2B42">
        <w:rPr>
          <w:rFonts w:ascii="Tahoma" w:eastAsia="Times New Roman" w:hAnsi="Tahoma" w:cs="Tahoma"/>
          <w:sz w:val="16"/>
          <w:szCs w:val="16"/>
          <w:lang w:val="es-EC" w:eastAsia="es-EC"/>
        </w:rPr>
        <w:t>Resuelve:</w:t>
      </w:r>
    </w:p>
    <w:p w:rsidR="00213223" w:rsidRPr="001C2B42" w:rsidRDefault="00213223" w:rsidP="00213223">
      <w:pPr>
        <w:shd w:val="clear" w:color="auto" w:fill="FFFFFF"/>
        <w:spacing w:after="0" w:line="240" w:lineRule="auto"/>
        <w:rPr>
          <w:rFonts w:ascii="Tahoma" w:eastAsia="Times New Roman" w:hAnsi="Tahoma" w:cs="Tahoma"/>
          <w:sz w:val="16"/>
          <w:szCs w:val="16"/>
          <w:lang w:val="es-EC" w:eastAsia="es-EC"/>
        </w:rPr>
      </w:pPr>
      <w:r w:rsidRPr="001C2B42">
        <w:rPr>
          <w:rFonts w:ascii="Tahoma" w:eastAsia="Times New Roman" w:hAnsi="Tahoma" w:cs="Tahoma"/>
          <w:sz w:val="16"/>
          <w:szCs w:val="16"/>
          <w:lang w:val="es-EC" w:eastAsia="es-EC"/>
        </w:rPr>
        <w:br/>
        <w:t>Establecer los montos máximos para la emisión de comprobantes de venta por parte de los sujetos pasivos inscritos en el Régimen Impositivo Simplificado</w:t>
      </w:r>
      <w:r w:rsidRPr="001C2B42">
        <w:rPr>
          <w:rFonts w:ascii="Tahoma" w:eastAsia="Times New Roman" w:hAnsi="Tahoma" w:cs="Tahoma"/>
          <w:sz w:val="16"/>
          <w:szCs w:val="16"/>
          <w:lang w:val="es-EC" w:eastAsia="es-EC"/>
        </w:rPr>
        <w:br/>
      </w:r>
      <w:r w:rsidRPr="001C2B42">
        <w:rPr>
          <w:rFonts w:ascii="Tahoma" w:eastAsia="Times New Roman" w:hAnsi="Tahoma" w:cs="Tahoma"/>
          <w:sz w:val="16"/>
          <w:szCs w:val="16"/>
          <w:lang w:val="es-EC" w:eastAsia="es-EC"/>
        </w:rPr>
        <w:br/>
        <w:t>Artículo 1.- ÚNICO.- Los sujetos pasivos inscritos en el Régimen Impositivo Simplificado podrán dentro de cada mes, de acuerdo a la categoría que corresponda, emitir comprobantes de venta únicamente hasta los montos máximos señalados a continuación, sin que se limite el número de comprobantes que el sujeto pasivo pueda emitir: </w:t>
      </w:r>
    </w:p>
    <w:p w:rsidR="00213223" w:rsidRPr="001C2B42" w:rsidRDefault="00213223" w:rsidP="00213223">
      <w:pPr>
        <w:shd w:val="clear" w:color="auto" w:fill="FFFFFF"/>
        <w:spacing w:after="0" w:line="240" w:lineRule="auto"/>
        <w:ind w:left="708"/>
        <w:rPr>
          <w:rFonts w:ascii="Tahoma" w:eastAsia="Times New Roman" w:hAnsi="Tahoma" w:cs="Tahoma"/>
          <w:sz w:val="16"/>
          <w:szCs w:val="16"/>
          <w:lang w:val="es-EC" w:eastAsia="es-EC"/>
        </w:rPr>
      </w:pPr>
    </w:p>
    <w:tbl>
      <w:tblPr>
        <w:tblW w:w="9765"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15"/>
        <w:gridCol w:w="799"/>
        <w:gridCol w:w="1096"/>
        <w:gridCol w:w="1171"/>
        <w:gridCol w:w="1171"/>
        <w:gridCol w:w="1171"/>
        <w:gridCol w:w="1171"/>
        <w:gridCol w:w="1171"/>
      </w:tblGrid>
      <w:tr w:rsidR="00213223" w:rsidRPr="00134544"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CATEGORÍA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1 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2 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3 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4 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5 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6 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b/>
                <w:sz w:val="14"/>
                <w:szCs w:val="16"/>
                <w:lang w:val="es-EC" w:eastAsia="es-EC"/>
              </w:rPr>
            </w:pPr>
            <w:r w:rsidRPr="001C2B42">
              <w:rPr>
                <w:rFonts w:ascii="Tahoma" w:eastAsia="Times New Roman" w:hAnsi="Tahoma" w:cs="Tahoma"/>
                <w:b/>
                <w:sz w:val="14"/>
                <w:szCs w:val="16"/>
                <w:lang w:val="es-EC" w:eastAsia="es-EC"/>
              </w:rPr>
              <w:t>7 </w:t>
            </w:r>
          </w:p>
        </w:tc>
      </w:tr>
      <w:tr w:rsidR="00213223" w:rsidRPr="00134544"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MONTO DE INGRESOS EN USD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0 A 5.000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5.001 A 10.000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10.001 A 20.000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20.001 A 30.000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30.001 A 40.000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40.001 A 50.000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DE 50.001 A 60.000 </w:t>
            </w:r>
          </w:p>
        </w:tc>
      </w:tr>
      <w:tr w:rsidR="00213223" w:rsidRPr="00134544" w:rsidTr="007D5AD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MONTO MÁXIMO MENSUAL EN USD</w:t>
            </w:r>
            <w:r w:rsidRPr="001C2B42">
              <w:rPr>
                <w:rFonts w:ascii="Tahoma" w:eastAsia="Times New Roman" w:hAnsi="Tahoma" w:cs="Tahoma"/>
                <w:sz w:val="14"/>
                <w:szCs w:val="16"/>
                <w:lang w:val="es-EC" w:eastAsia="es-EC"/>
              </w:rPr>
              <w:br/>
            </w:r>
            <w:r w:rsidRPr="001C2B42">
              <w:rPr>
                <w:rFonts w:ascii="Tahoma" w:eastAsia="Times New Roman" w:hAnsi="Tahoma" w:cs="Tahoma"/>
                <w:sz w:val="14"/>
                <w:szCs w:val="16"/>
                <w:lang w:val="es-EC" w:eastAsia="es-EC"/>
              </w:rPr>
              <w:br/>
              <w:t>(todas las actividades)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420,00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850,00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1.700,00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2.500,00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3.350,00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4.200,00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213223" w:rsidRPr="001C2B42" w:rsidRDefault="00213223" w:rsidP="007D5AD9">
            <w:pPr>
              <w:spacing w:after="0" w:line="240" w:lineRule="auto"/>
              <w:jc w:val="center"/>
              <w:rPr>
                <w:rFonts w:ascii="Tahoma" w:eastAsia="Times New Roman" w:hAnsi="Tahoma" w:cs="Tahoma"/>
                <w:sz w:val="14"/>
                <w:szCs w:val="16"/>
                <w:lang w:val="es-EC" w:eastAsia="es-EC"/>
              </w:rPr>
            </w:pPr>
            <w:r w:rsidRPr="001C2B42">
              <w:rPr>
                <w:rFonts w:ascii="Tahoma" w:eastAsia="Times New Roman" w:hAnsi="Tahoma" w:cs="Tahoma"/>
                <w:sz w:val="14"/>
                <w:szCs w:val="16"/>
                <w:lang w:val="es-EC" w:eastAsia="es-EC"/>
              </w:rPr>
              <w:t>5.000,00</w:t>
            </w:r>
          </w:p>
        </w:tc>
      </w:tr>
    </w:tbl>
    <w:p w:rsidR="00213223" w:rsidRPr="001C2B42" w:rsidRDefault="00213223" w:rsidP="00213223">
      <w:pPr>
        <w:shd w:val="clear" w:color="auto" w:fill="FFFFFF"/>
        <w:spacing w:after="0" w:line="240" w:lineRule="auto"/>
        <w:ind w:left="708"/>
        <w:rPr>
          <w:rFonts w:ascii="Tahoma" w:eastAsia="Times New Roman" w:hAnsi="Tahoma" w:cs="Tahoma"/>
          <w:sz w:val="16"/>
          <w:szCs w:val="16"/>
          <w:lang w:val="es-EC" w:eastAsia="es-EC"/>
        </w:rPr>
      </w:pPr>
    </w:p>
    <w:p w:rsidR="00213223" w:rsidRPr="001C2B42" w:rsidRDefault="00213223" w:rsidP="00213223">
      <w:pPr>
        <w:shd w:val="clear" w:color="auto" w:fill="FFFFFF"/>
        <w:spacing w:after="0" w:line="240" w:lineRule="auto"/>
        <w:rPr>
          <w:rFonts w:ascii="Tahoma" w:eastAsia="Times New Roman" w:hAnsi="Tahoma" w:cs="Tahoma"/>
          <w:sz w:val="20"/>
          <w:szCs w:val="20"/>
          <w:lang w:val="es-EC" w:eastAsia="es-EC"/>
        </w:rPr>
      </w:pPr>
      <w:r w:rsidRPr="001C2B42">
        <w:rPr>
          <w:rFonts w:ascii="Tahoma" w:eastAsia="Times New Roman" w:hAnsi="Tahoma" w:cs="Tahoma"/>
          <w:sz w:val="16"/>
          <w:szCs w:val="16"/>
          <w:lang w:val="es-EC" w:eastAsia="es-EC"/>
        </w:rPr>
        <w:t xml:space="preserve">Sin perjuicio de los montos máximos mensuales por categoría antes referidos, los sujetos pasivos inscritos en el Régimen Impositivo Simplificado podrán emitir comprobantes de venta con valores superiores a los señalados, hasta por tres (3) meses en un mismo ejercicio fiscal, considerando el nivel de </w:t>
      </w:r>
      <w:proofErr w:type="spellStart"/>
      <w:r w:rsidRPr="001C2B42">
        <w:rPr>
          <w:rFonts w:ascii="Tahoma" w:eastAsia="Times New Roman" w:hAnsi="Tahoma" w:cs="Tahoma"/>
          <w:sz w:val="16"/>
          <w:szCs w:val="16"/>
          <w:lang w:val="es-EC" w:eastAsia="es-EC"/>
        </w:rPr>
        <w:t>transaccionalidad</w:t>
      </w:r>
      <w:proofErr w:type="spellEnd"/>
      <w:r w:rsidRPr="001C2B42">
        <w:rPr>
          <w:rFonts w:ascii="Tahoma" w:eastAsia="Times New Roman" w:hAnsi="Tahoma" w:cs="Tahoma"/>
          <w:sz w:val="16"/>
          <w:szCs w:val="16"/>
          <w:lang w:val="es-EC" w:eastAsia="es-EC"/>
        </w:rPr>
        <w:t xml:space="preserve"> que se presente en tales períodos.</w:t>
      </w:r>
      <w:r w:rsidRPr="001C2B42">
        <w:rPr>
          <w:rFonts w:ascii="Tahoma" w:eastAsia="Times New Roman" w:hAnsi="Tahoma" w:cs="Tahoma"/>
          <w:sz w:val="16"/>
          <w:szCs w:val="16"/>
          <w:lang w:val="es-EC" w:eastAsia="es-EC"/>
        </w:rPr>
        <w:br/>
      </w:r>
      <w:r w:rsidRPr="001C2B42">
        <w:rPr>
          <w:rFonts w:ascii="Tahoma" w:eastAsia="Times New Roman" w:hAnsi="Tahoma" w:cs="Tahoma"/>
          <w:sz w:val="16"/>
          <w:szCs w:val="16"/>
          <w:lang w:val="es-EC" w:eastAsia="es-EC"/>
        </w:rPr>
        <w:br/>
        <w:t>No obstante, la suma de la totalidad de los comprobantes emitidos en el respectivo ejercicio fiscal deberá encontrarse dentro de los límites máximos de ingresos establecidos, de acuerdo a la categoría en la que el sujeto pasivo se encuentre ubicado.</w:t>
      </w:r>
      <w:r w:rsidRPr="001C2B42">
        <w:rPr>
          <w:rFonts w:ascii="Tahoma" w:eastAsia="Times New Roman" w:hAnsi="Tahoma" w:cs="Tahoma"/>
          <w:sz w:val="16"/>
          <w:szCs w:val="16"/>
          <w:lang w:val="es-EC" w:eastAsia="es-EC"/>
        </w:rPr>
        <w:br/>
      </w:r>
      <w:r w:rsidRPr="001C2B42">
        <w:rPr>
          <w:rFonts w:ascii="Tahoma" w:eastAsia="Times New Roman" w:hAnsi="Tahoma" w:cs="Tahoma"/>
          <w:sz w:val="16"/>
          <w:szCs w:val="16"/>
          <w:lang w:val="es-EC" w:eastAsia="es-EC"/>
        </w:rPr>
        <w:br/>
        <w:t>DISPOSICIÓN DEROGATORIA.- Deróguese la Resolución No. NAC-DGERCGC13-00883, publicada en el Segundo Suplemento del Registro Oficial No. 149 de 23 de diciembre de 2013, y sus reformas.</w:t>
      </w:r>
      <w:r w:rsidRPr="001C2B42">
        <w:rPr>
          <w:rFonts w:ascii="Tahoma" w:eastAsia="Times New Roman" w:hAnsi="Tahoma" w:cs="Tahoma"/>
          <w:sz w:val="16"/>
          <w:szCs w:val="16"/>
          <w:lang w:val="es-EC" w:eastAsia="es-EC"/>
        </w:rPr>
        <w:br/>
      </w:r>
      <w:r w:rsidRPr="001C2B42">
        <w:rPr>
          <w:rFonts w:ascii="Tahoma" w:eastAsia="Times New Roman" w:hAnsi="Tahoma" w:cs="Tahoma"/>
          <w:sz w:val="16"/>
          <w:szCs w:val="16"/>
          <w:lang w:val="es-EC" w:eastAsia="es-EC"/>
        </w:rPr>
        <w:br/>
        <w:t>DISPOSICIÓN TRANSITORIA.- En el caso de contribuyentes que a la fecha de entrada en vigencia de la presente Resolución mantengan comprobantes de venta vigentes, podrán emitirlos considerando los límites establecidos en este acto normativo, hasta el plazo de autorización de los mismos.</w:t>
      </w:r>
      <w:r w:rsidRPr="001C2B42">
        <w:rPr>
          <w:rFonts w:ascii="Tahoma" w:eastAsia="Times New Roman" w:hAnsi="Tahoma" w:cs="Tahoma"/>
          <w:sz w:val="16"/>
          <w:szCs w:val="16"/>
          <w:lang w:val="es-EC" w:eastAsia="es-EC"/>
        </w:rPr>
        <w:br/>
      </w:r>
      <w:r w:rsidRPr="001C2B42">
        <w:rPr>
          <w:rFonts w:ascii="Tahoma" w:eastAsia="Times New Roman" w:hAnsi="Tahoma" w:cs="Tahoma"/>
          <w:sz w:val="16"/>
          <w:szCs w:val="16"/>
          <w:lang w:val="es-EC" w:eastAsia="es-EC"/>
        </w:rPr>
        <w:br/>
        <w:t>DISPOSICIÓN FINAL.- La presente Resolución entrará en vigencia a partir de su publicación en el Registro Oficial.</w:t>
      </w:r>
    </w:p>
    <w:p w:rsidR="00213223" w:rsidRDefault="00213223" w:rsidP="00213223">
      <w:pPr>
        <w:shd w:val="clear" w:color="auto" w:fill="FFFFFF"/>
        <w:spacing w:after="0" w:line="240" w:lineRule="auto"/>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ED05EB" w:rsidRDefault="00ED05EB">
      <w:bookmarkStart w:id="0" w:name="_GoBack"/>
      <w:bookmarkEnd w:id="0"/>
    </w:p>
    <w:sectPr w:rsidR="00ED05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8C5249"/>
    <w:multiLevelType w:val="hybridMultilevel"/>
    <w:tmpl w:val="5972F1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223"/>
    <w:rsid w:val="00213223"/>
    <w:rsid w:val="00ED05EB"/>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E16373-45CF-4BFB-87DE-B3F76CDF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3223"/>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132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avascript:Vincular(1582441)"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353</Words>
  <Characters>1946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2017-12-08T19:21:00Z</dcterms:created>
  <dcterms:modified xsi:type="dcterms:W3CDTF">2017-12-08T19:22:00Z</dcterms:modified>
</cp:coreProperties>
</file>